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1B" w:rsidRPr="00316D5F" w:rsidRDefault="00316D5F">
      <w:pPr>
        <w:pStyle w:val="ListParagraph"/>
        <w:ind w:left="0"/>
        <w:jc w:val="center"/>
        <w:rPr>
          <w:rFonts w:ascii="Georgia" w:hAnsi="Georgia"/>
          <w:b/>
          <w:sz w:val="22"/>
        </w:rPr>
      </w:pPr>
      <w:r w:rsidRPr="00316D5F">
        <w:rPr>
          <w:rFonts w:ascii="Georgia" w:hAnsi="Georgia"/>
          <w:b/>
          <w:sz w:val="22"/>
        </w:rPr>
        <w:t xml:space="preserve">Health Care Reform:  Employer Shared Responsibility Requirements and </w:t>
      </w:r>
      <w:proofErr w:type="gramStart"/>
      <w:r w:rsidRPr="00316D5F">
        <w:rPr>
          <w:rFonts w:ascii="Georgia" w:hAnsi="Georgia"/>
          <w:b/>
          <w:sz w:val="22"/>
        </w:rPr>
        <w:t xml:space="preserve">the  </w:t>
      </w:r>
      <w:proofErr w:type="gramEnd"/>
      <w:r w:rsidRPr="00316D5F">
        <w:rPr>
          <w:rFonts w:ascii="Georgia" w:hAnsi="Georgia"/>
          <w:b/>
          <w:sz w:val="22"/>
        </w:rPr>
        <w:br/>
        <w:t>Impacts on the District and Trust</w:t>
      </w:r>
    </w:p>
    <w:p w:rsidR="008C0A1B" w:rsidRPr="00316D5F" w:rsidRDefault="008C0A1B">
      <w:pPr>
        <w:pStyle w:val="ListParagraph"/>
        <w:ind w:left="0"/>
        <w:jc w:val="center"/>
        <w:rPr>
          <w:rFonts w:ascii="Georgia" w:hAnsi="Georgia"/>
          <w:b/>
          <w:sz w:val="22"/>
        </w:rPr>
      </w:pPr>
    </w:p>
    <w:p w:rsidR="008C0A1B" w:rsidRPr="00316D5F" w:rsidRDefault="00316D5F">
      <w:pPr>
        <w:pStyle w:val="ListParagraph"/>
        <w:ind w:left="0"/>
        <w:jc w:val="center"/>
        <w:rPr>
          <w:rFonts w:ascii="Georgia" w:hAnsi="Georgia"/>
          <w:b/>
          <w:sz w:val="22"/>
        </w:rPr>
      </w:pPr>
      <w:r w:rsidRPr="00316D5F">
        <w:rPr>
          <w:rFonts w:ascii="Georgia" w:hAnsi="Georgia"/>
          <w:b/>
          <w:sz w:val="22"/>
        </w:rPr>
        <w:t>May 14</w:t>
      </w:r>
      <w:r w:rsidRPr="00316D5F">
        <w:rPr>
          <w:rFonts w:ascii="Georgia" w:hAnsi="Georgia"/>
          <w:b/>
          <w:sz w:val="22"/>
        </w:rPr>
        <w:t>, 2014, Trust Meeting</w:t>
      </w:r>
    </w:p>
    <w:p w:rsidR="008C0A1B" w:rsidRPr="00316D5F" w:rsidRDefault="008C0A1B">
      <w:pPr>
        <w:rPr>
          <w:rFonts w:ascii="Georgia" w:hAnsi="Georgia"/>
          <w:b/>
          <w:sz w:val="22"/>
        </w:rPr>
      </w:pPr>
    </w:p>
    <w:p w:rsidR="008C0A1B" w:rsidRPr="00316D5F" w:rsidRDefault="00316D5F">
      <w:pPr>
        <w:rPr>
          <w:rFonts w:ascii="Georgia" w:hAnsi="Georgia"/>
          <w:sz w:val="22"/>
        </w:rPr>
      </w:pPr>
      <w:r w:rsidRPr="00316D5F">
        <w:rPr>
          <w:rFonts w:ascii="Georgia" w:hAnsi="Georgia"/>
          <w:sz w:val="22"/>
        </w:rPr>
        <w:t>On February 10, 2014, the federal government issued the final regulations implementing the statute for employer</w:t>
      </w:r>
      <w:r w:rsidRPr="00316D5F">
        <w:rPr>
          <w:rFonts w:ascii="Georgia" w:hAnsi="Georgia"/>
          <w:sz w:val="22"/>
        </w:rPr>
        <w:t xml:space="preserve"> shared respo</w:t>
      </w:r>
      <w:r>
        <w:rPr>
          <w:rFonts w:ascii="Georgia" w:hAnsi="Georgia"/>
          <w:sz w:val="22"/>
        </w:rPr>
        <w:t xml:space="preserve">nsibility under health reform. </w:t>
      </w:r>
      <w:r w:rsidRPr="00316D5F">
        <w:rPr>
          <w:rFonts w:ascii="Georgia" w:hAnsi="Georgia"/>
          <w:sz w:val="22"/>
        </w:rPr>
        <w:t>While it is true that technically the Everett School District (“District”) is the “employer” subject to the regulations, there are potential impacts on the Everett School Employee Benefit Trust (“Trust”).</w:t>
      </w:r>
    </w:p>
    <w:p w:rsidR="008C0A1B" w:rsidRPr="00316D5F" w:rsidRDefault="008C0A1B">
      <w:pPr>
        <w:rPr>
          <w:rFonts w:ascii="Georgia" w:hAnsi="Georgia"/>
          <w:sz w:val="22"/>
        </w:rPr>
      </w:pPr>
    </w:p>
    <w:p w:rsidR="008C0A1B" w:rsidRPr="00316D5F" w:rsidRDefault="00316D5F">
      <w:pPr>
        <w:rPr>
          <w:rFonts w:ascii="Georgia" w:hAnsi="Georgia"/>
          <w:b/>
          <w:sz w:val="22"/>
        </w:rPr>
      </w:pPr>
      <w:r w:rsidRPr="00316D5F">
        <w:rPr>
          <w:rFonts w:ascii="Georgia" w:hAnsi="Georgia"/>
          <w:b/>
          <w:sz w:val="22"/>
        </w:rPr>
        <w:t>The G</w:t>
      </w:r>
      <w:r w:rsidRPr="00316D5F">
        <w:rPr>
          <w:rFonts w:ascii="Georgia" w:hAnsi="Georgia"/>
          <w:b/>
          <w:sz w:val="22"/>
        </w:rPr>
        <w:t>eneral Rules</w:t>
      </w:r>
    </w:p>
    <w:p w:rsidR="008C0A1B" w:rsidRPr="00316D5F" w:rsidRDefault="008C0A1B">
      <w:pPr>
        <w:rPr>
          <w:rFonts w:ascii="Georgia" w:hAnsi="Georgia"/>
          <w:b/>
          <w:sz w:val="22"/>
        </w:rPr>
      </w:pPr>
    </w:p>
    <w:p w:rsidR="008C0A1B" w:rsidRPr="00316D5F" w:rsidRDefault="00316D5F">
      <w:pPr>
        <w:rPr>
          <w:rFonts w:ascii="Georgia" w:hAnsi="Georgia"/>
          <w:sz w:val="22"/>
        </w:rPr>
      </w:pPr>
      <w:r w:rsidRPr="00316D5F">
        <w:rPr>
          <w:rFonts w:ascii="Georgia" w:hAnsi="Georgia"/>
          <w:sz w:val="22"/>
        </w:rPr>
        <w:t xml:space="preserve">Starting January 1, 2015, any employer employing ≥50 full-time employees must offer health coverage to full-time employees by the first day of the month after three full calendar months of employment or pay a penalty.  Employees in part-time </w:t>
      </w:r>
      <w:r w:rsidRPr="00316D5F">
        <w:rPr>
          <w:rFonts w:ascii="Georgia" w:hAnsi="Georgia"/>
          <w:sz w:val="22"/>
        </w:rPr>
        <w:t>positions and volunteers need not be offered coverage.</w:t>
      </w:r>
    </w:p>
    <w:p w:rsidR="008C0A1B" w:rsidRPr="00316D5F" w:rsidRDefault="008C0A1B">
      <w:pPr>
        <w:rPr>
          <w:rFonts w:ascii="Georgia" w:hAnsi="Georgia"/>
          <w:sz w:val="22"/>
        </w:rPr>
      </w:pPr>
    </w:p>
    <w:p w:rsidR="008C0A1B" w:rsidRPr="00316D5F" w:rsidRDefault="00316D5F">
      <w:pPr>
        <w:rPr>
          <w:rFonts w:ascii="Georgia" w:hAnsi="Georgia"/>
          <w:sz w:val="22"/>
        </w:rPr>
      </w:pPr>
      <w:r w:rsidRPr="00316D5F">
        <w:rPr>
          <w:rFonts w:ascii="Georgia" w:hAnsi="Georgia"/>
          <w:sz w:val="22"/>
        </w:rPr>
        <w:t>An employer may be subject to a penalty tax for (1) failing to offer minimum essential health care coverage to substantially all full-time of its full-time employees (and their dependent children) (th</w:t>
      </w:r>
      <w:r w:rsidRPr="00316D5F">
        <w:rPr>
          <w:rFonts w:ascii="Georgia" w:hAnsi="Georgia"/>
          <w:sz w:val="22"/>
        </w:rPr>
        <w:t>e “No Coverage Penalty), or (2) offers employer-sponsored coverage that is not “affordable” (exceeds a specified percentage of the employee’s household income) or does not offer “minimum value” (the plan’s share of the total allowed cost of benefits is not</w:t>
      </w:r>
      <w:r w:rsidRPr="00316D5F">
        <w:rPr>
          <w:rFonts w:ascii="Georgia" w:hAnsi="Georgia"/>
          <w:sz w:val="22"/>
        </w:rPr>
        <w:t xml:space="preserve"> at least 60%) (</w:t>
      </w:r>
      <w:proofErr w:type="gramStart"/>
      <w:r w:rsidRPr="00316D5F">
        <w:rPr>
          <w:rFonts w:ascii="Georgia" w:hAnsi="Georgia"/>
          <w:sz w:val="22"/>
        </w:rPr>
        <w:t>the</w:t>
      </w:r>
      <w:proofErr w:type="gramEnd"/>
      <w:r w:rsidRPr="00316D5F">
        <w:rPr>
          <w:rFonts w:ascii="Georgia" w:hAnsi="Georgia"/>
          <w:sz w:val="22"/>
        </w:rPr>
        <w:t xml:space="preserve"> “Insufficient Coverage Penalty”).  </w:t>
      </w:r>
    </w:p>
    <w:p w:rsidR="008C0A1B" w:rsidRPr="00316D5F" w:rsidRDefault="008C0A1B">
      <w:pPr>
        <w:rPr>
          <w:rFonts w:ascii="Georgia" w:hAnsi="Georgia"/>
          <w:sz w:val="22"/>
        </w:rPr>
      </w:pPr>
    </w:p>
    <w:p w:rsidR="008C0A1B" w:rsidRPr="00316D5F" w:rsidRDefault="00316D5F">
      <w:pPr>
        <w:rPr>
          <w:rFonts w:ascii="Georgia" w:hAnsi="Georgia"/>
          <w:sz w:val="22"/>
        </w:rPr>
      </w:pPr>
      <w:r w:rsidRPr="00316D5F">
        <w:rPr>
          <w:rFonts w:ascii="Georgia" w:hAnsi="Georgia"/>
          <w:sz w:val="22"/>
        </w:rPr>
        <w:t>The No Coverage Penalty is equal to a yearly maximum of $2,120 multiplied by the number of full-time employees minus 30 (80 for 2015), while the Insufficient Coverage Penalty is equal to a yearly max</w:t>
      </w:r>
      <w:r w:rsidRPr="00316D5F">
        <w:rPr>
          <w:rFonts w:ascii="Georgia" w:hAnsi="Georgia"/>
          <w:sz w:val="22"/>
        </w:rPr>
        <w:t xml:space="preserve">imum of $3,180 for each full-time employee </w:t>
      </w:r>
      <w:r>
        <w:rPr>
          <w:rFonts w:ascii="Georgia" w:hAnsi="Georgia"/>
          <w:sz w:val="22"/>
        </w:rPr>
        <w:t xml:space="preserve">receiving the federal subsidy. </w:t>
      </w:r>
      <w:r w:rsidRPr="00316D5F">
        <w:rPr>
          <w:rFonts w:ascii="Georgia" w:hAnsi="Georgia"/>
          <w:sz w:val="22"/>
        </w:rPr>
        <w:t xml:space="preserve">These penalty amounts are calculated monthly.  </w:t>
      </w:r>
    </w:p>
    <w:p w:rsidR="008C0A1B" w:rsidRPr="00316D5F" w:rsidRDefault="008C0A1B">
      <w:pPr>
        <w:rPr>
          <w:rFonts w:ascii="Georgia" w:hAnsi="Georgia"/>
          <w:sz w:val="22"/>
        </w:rPr>
      </w:pPr>
    </w:p>
    <w:p w:rsidR="008C0A1B" w:rsidRPr="00316D5F" w:rsidRDefault="00316D5F">
      <w:pPr>
        <w:rPr>
          <w:rFonts w:ascii="Georgia" w:hAnsi="Georgia"/>
          <w:sz w:val="22"/>
        </w:rPr>
      </w:pPr>
      <w:r w:rsidRPr="00316D5F">
        <w:rPr>
          <w:rFonts w:ascii="Georgia" w:hAnsi="Georgia"/>
          <w:sz w:val="22"/>
        </w:rPr>
        <w:t>With respect to the Insufficient Coverage Penalty, we understand that the District, through the Trust, provides health benefits to t</w:t>
      </w:r>
      <w:r w:rsidRPr="00316D5F">
        <w:rPr>
          <w:rFonts w:ascii="Georgia" w:hAnsi="Georgia"/>
          <w:sz w:val="22"/>
        </w:rPr>
        <w:t>hose employees employed .333 FTE and above, and the coverage meets the minimum value a</w:t>
      </w:r>
      <w:r>
        <w:rPr>
          <w:rFonts w:ascii="Georgia" w:hAnsi="Georgia"/>
          <w:sz w:val="22"/>
        </w:rPr>
        <w:t xml:space="preserve">nd affordability requirements. </w:t>
      </w:r>
      <w:r w:rsidRPr="00316D5F">
        <w:rPr>
          <w:rFonts w:ascii="Georgia" w:hAnsi="Georgia"/>
          <w:sz w:val="22"/>
        </w:rPr>
        <w:t>With respect to those employees .333 FTE and above, it is highly unlikely the District would be subject to an Insufficient Coverage Penalt</w:t>
      </w:r>
      <w:r w:rsidRPr="00316D5F">
        <w:rPr>
          <w:rFonts w:ascii="Georgia" w:hAnsi="Georgia"/>
          <w:sz w:val="22"/>
        </w:rPr>
        <w:t>y.</w:t>
      </w:r>
    </w:p>
    <w:p w:rsidR="008C0A1B" w:rsidRPr="00316D5F" w:rsidRDefault="008C0A1B">
      <w:pPr>
        <w:rPr>
          <w:rFonts w:ascii="Georgia" w:hAnsi="Georgia"/>
          <w:sz w:val="22"/>
        </w:rPr>
      </w:pPr>
    </w:p>
    <w:p w:rsidR="008C0A1B" w:rsidRPr="00316D5F" w:rsidRDefault="00316D5F">
      <w:pPr>
        <w:pStyle w:val="BodyText"/>
        <w:ind w:firstLine="0"/>
        <w:rPr>
          <w:rFonts w:ascii="Georgia" w:hAnsi="Georgia"/>
          <w:b/>
          <w:sz w:val="22"/>
        </w:rPr>
      </w:pPr>
      <w:r w:rsidRPr="00316D5F">
        <w:rPr>
          <w:rFonts w:ascii="Georgia" w:hAnsi="Georgia"/>
          <w:b/>
          <w:sz w:val="22"/>
        </w:rPr>
        <w:t>Determining Full-time Employees</w:t>
      </w:r>
    </w:p>
    <w:p w:rsidR="008C0A1B" w:rsidRPr="00316D5F" w:rsidRDefault="00316D5F">
      <w:pPr>
        <w:pStyle w:val="BodyText"/>
        <w:ind w:firstLine="0"/>
        <w:rPr>
          <w:rFonts w:ascii="Georgia" w:hAnsi="Georgia"/>
          <w:b/>
          <w:sz w:val="22"/>
        </w:rPr>
      </w:pPr>
      <w:r w:rsidRPr="00316D5F">
        <w:rPr>
          <w:rFonts w:ascii="Georgia" w:hAnsi="Georgia"/>
          <w:sz w:val="22"/>
        </w:rPr>
        <w:t>The No Coverage Penalty and the Insufficient Coverage Penalty hinge on whether an employer offers co</w:t>
      </w:r>
      <w:r>
        <w:rPr>
          <w:rFonts w:ascii="Georgia" w:hAnsi="Georgia"/>
          <w:sz w:val="22"/>
        </w:rPr>
        <w:t xml:space="preserve">verage to full-time employees. </w:t>
      </w:r>
      <w:r w:rsidRPr="00316D5F">
        <w:rPr>
          <w:rFonts w:ascii="Georgia" w:hAnsi="Georgia"/>
          <w:sz w:val="22"/>
        </w:rPr>
        <w:t>An employee is considered to be full-time if the employee works at least 30 hours per we</w:t>
      </w:r>
      <w:r w:rsidRPr="00316D5F">
        <w:rPr>
          <w:rFonts w:ascii="Georgia" w:hAnsi="Georgia"/>
          <w:sz w:val="22"/>
        </w:rPr>
        <w:t xml:space="preserve">ek in any month, and 130 hours of service per month is equivalent to 30 hours of service per week.  </w:t>
      </w:r>
    </w:p>
    <w:p w:rsidR="008C0A1B" w:rsidRPr="00316D5F" w:rsidRDefault="00316D5F">
      <w:pPr>
        <w:rPr>
          <w:rFonts w:ascii="Georgia" w:hAnsi="Georgia"/>
          <w:sz w:val="22"/>
        </w:rPr>
      </w:pPr>
      <w:r w:rsidRPr="00316D5F">
        <w:rPr>
          <w:rFonts w:ascii="Georgia" w:hAnsi="Georgia"/>
          <w:sz w:val="22"/>
        </w:rPr>
        <w:t>The regulations clarify how employers can use a monthly measurement period to determine whether an employee is full-time in “real-time,” and the usage of a</w:t>
      </w:r>
      <w:r w:rsidRPr="00316D5F">
        <w:rPr>
          <w:rFonts w:ascii="Georgia" w:hAnsi="Georgia"/>
          <w:sz w:val="22"/>
        </w:rPr>
        <w:t xml:space="preserve"> look-back period fo</w:t>
      </w:r>
      <w:r>
        <w:rPr>
          <w:rFonts w:ascii="Georgia" w:hAnsi="Georgia"/>
          <w:sz w:val="22"/>
        </w:rPr>
        <w:t xml:space="preserve">r certain groups of employees. </w:t>
      </w:r>
      <w:r w:rsidRPr="00316D5F">
        <w:rPr>
          <w:rFonts w:ascii="Georgia" w:hAnsi="Georgia"/>
          <w:sz w:val="22"/>
        </w:rPr>
        <w:t>The regulations confirm that variable hour employees are those whose full-time status is uncertain upon hire, defines “seasonal employees” as an employee who is hired into a position for six months or les</w:t>
      </w:r>
      <w:r w:rsidRPr="00316D5F">
        <w:rPr>
          <w:rFonts w:ascii="Georgia" w:hAnsi="Georgia"/>
          <w:sz w:val="22"/>
        </w:rPr>
        <w:t>s around the same time each year, and defines “part-time employee” as a new employee reasonably expected to work &lt;30 hours per week on average during t</w:t>
      </w:r>
      <w:r>
        <w:rPr>
          <w:rFonts w:ascii="Georgia" w:hAnsi="Georgia"/>
          <w:sz w:val="22"/>
        </w:rPr>
        <w:t xml:space="preserve">he initial measurement period. </w:t>
      </w:r>
      <w:bookmarkStart w:id="0" w:name="_GoBack"/>
      <w:bookmarkEnd w:id="0"/>
      <w:r w:rsidRPr="00316D5F">
        <w:rPr>
          <w:rFonts w:ascii="Georgia" w:hAnsi="Georgia"/>
          <w:sz w:val="22"/>
        </w:rPr>
        <w:t>If any of these non-full-time employees average 30 or more hours per week</w:t>
      </w:r>
      <w:r w:rsidRPr="00316D5F">
        <w:rPr>
          <w:rFonts w:ascii="Georgia" w:hAnsi="Georgia"/>
          <w:sz w:val="22"/>
        </w:rPr>
        <w:t xml:space="preserve"> during an initial measurement period, the employer must provide health insurance coverage to these employees during what’s called a subsequent “stability period” of at least six months.  </w:t>
      </w:r>
    </w:p>
    <w:p w:rsidR="008C0A1B" w:rsidRPr="00316D5F" w:rsidRDefault="008C0A1B">
      <w:pPr>
        <w:rPr>
          <w:rFonts w:ascii="Georgia" w:hAnsi="Georgia"/>
          <w:sz w:val="22"/>
        </w:rPr>
      </w:pPr>
    </w:p>
    <w:p w:rsidR="008C0A1B" w:rsidRPr="00316D5F" w:rsidRDefault="00316D5F">
      <w:pPr>
        <w:rPr>
          <w:rFonts w:ascii="Georgia" w:hAnsi="Georgia"/>
          <w:sz w:val="22"/>
        </w:rPr>
      </w:pPr>
      <w:r w:rsidRPr="00316D5F">
        <w:rPr>
          <w:rFonts w:ascii="Georgia" w:hAnsi="Georgia"/>
          <w:sz w:val="22"/>
        </w:rPr>
        <w:t>Lastly, rehired employees are treated as new employees for purpose</w:t>
      </w:r>
      <w:r w:rsidRPr="00316D5F">
        <w:rPr>
          <w:rFonts w:ascii="Georgia" w:hAnsi="Georgia"/>
          <w:sz w:val="22"/>
        </w:rPr>
        <w:t>s of the measurement periods if the rehired employee leave had a break in service ≥26 weeks.</w:t>
      </w:r>
    </w:p>
    <w:p w:rsidR="00316D5F" w:rsidRPr="00316D5F" w:rsidRDefault="00316D5F">
      <w:pPr>
        <w:rPr>
          <w:rFonts w:ascii="Georgia" w:hAnsi="Georgia"/>
          <w:sz w:val="22"/>
        </w:rPr>
      </w:pPr>
    </w:p>
    <w:sectPr w:rsidR="00316D5F" w:rsidRPr="00316D5F" w:rsidSect="00316D5F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1B" w:rsidRDefault="00316D5F">
      <w:r>
        <w:separator/>
      </w:r>
    </w:p>
  </w:endnote>
  <w:endnote w:type="continuationSeparator" w:id="0">
    <w:p w:rsidR="008C0A1B" w:rsidRDefault="0031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1B" w:rsidRDefault="00316D5F">
    <w:pPr>
      <w:pStyle w:val="Footer"/>
      <w:spacing w:line="240" w:lineRule="exact"/>
    </w:pPr>
    <w:r>
      <w:rPr>
        <w:rStyle w:val="zzmpTrailerItem"/>
      </w:rPr>
      <w:t>76049319.1 0053709-00001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1B" w:rsidRDefault="00316D5F">
      <w:r>
        <w:separator/>
      </w:r>
    </w:p>
  </w:footnote>
  <w:footnote w:type="continuationSeparator" w:id="0">
    <w:p w:rsidR="008C0A1B" w:rsidRDefault="00316D5F">
      <w:r>
        <w:separator/>
      </w:r>
    </w:p>
    <w:p w:rsidR="008C0A1B" w:rsidRDefault="00316D5F">
      <w:pPr>
        <w:pStyle w:val="Footer"/>
      </w:pPr>
      <w:r>
        <w:t xml:space="preserve">(. . . </w:t>
      </w:r>
      <w:proofErr w:type="gramStart"/>
      <w:r>
        <w:t>continued</w:t>
      </w:r>
      <w:proofErr w:type="gramEnd"/>
      <w:r>
        <w:t>)</w:t>
      </w:r>
    </w:p>
  </w:footnote>
  <w:footnote w:type="continuationNotice" w:id="1">
    <w:p w:rsidR="008C0A1B" w:rsidRDefault="00316D5F">
      <w:pPr>
        <w:pStyle w:val="Footer"/>
        <w:jc w:val="right"/>
      </w:pPr>
      <w:r>
        <w:t>(</w:t>
      </w:r>
      <w:proofErr w:type="gramStart"/>
      <w:r>
        <w:t>continued</w:t>
      </w:r>
      <w:proofErr w:type="gramEnd"/>
      <w:r>
        <w:t xml:space="preserve"> . . 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43896"/>
    <w:multiLevelType w:val="hybridMultilevel"/>
    <w:tmpl w:val="2DAEB160"/>
    <w:lvl w:ilvl="0" w:tplc="1054B2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0"/>
    <w:docVar w:name="MPDocID" w:val="76049319.1 0053709-00001"/>
    <w:docVar w:name="MPDocIDTemplate" w:val="|%n|.%v| %c-%m"/>
    <w:docVar w:name="MPDocIDTemplateDefault" w:val="|%n|.%v| %c-%m"/>
    <w:docVar w:name="NewDocStampType" w:val="1"/>
  </w:docVars>
  <w:rsids>
    <w:rsidRoot w:val="008C0A1B"/>
    <w:rsid w:val="00316D5F"/>
    <w:rsid w:val="008C0A1B"/>
    <w:rsid w:val="00D7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1800" w:right="720" w:hanging="1800"/>
    </w:pPr>
    <w:rPr>
      <w:caps/>
      <w:szCs w:val="20"/>
    </w:rPr>
  </w:style>
  <w:style w:type="paragraph" w:styleId="TOC2">
    <w:name w:val="toc 2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1440" w:right="720" w:hanging="720"/>
    </w:pPr>
    <w:rPr>
      <w:szCs w:val="20"/>
    </w:rPr>
  </w:style>
  <w:style w:type="paragraph" w:styleId="TOC3">
    <w:name w:val="toc 3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2160" w:right="720" w:hanging="720"/>
    </w:pPr>
    <w:rPr>
      <w:szCs w:val="20"/>
    </w:rPr>
  </w:style>
  <w:style w:type="paragraph" w:styleId="TOC4">
    <w:name w:val="toc 4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2880" w:right="720" w:hanging="720"/>
    </w:pPr>
    <w:rPr>
      <w:szCs w:val="20"/>
    </w:rPr>
  </w:style>
  <w:style w:type="paragraph" w:styleId="TOC5">
    <w:name w:val="toc 5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3600" w:right="720" w:hanging="720"/>
    </w:pPr>
    <w:rPr>
      <w:szCs w:val="20"/>
    </w:rPr>
  </w:style>
  <w:style w:type="paragraph" w:styleId="TOC6">
    <w:name w:val="toc 6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4320" w:right="720" w:hanging="720"/>
    </w:pPr>
    <w:rPr>
      <w:szCs w:val="20"/>
    </w:rPr>
  </w:style>
  <w:style w:type="paragraph" w:styleId="TOC7">
    <w:name w:val="toc 7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5040" w:right="720" w:hanging="720"/>
    </w:pPr>
    <w:rPr>
      <w:szCs w:val="20"/>
    </w:rPr>
  </w:style>
  <w:style w:type="paragraph" w:styleId="TOC8">
    <w:name w:val="toc 8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5760" w:right="720" w:hanging="720"/>
    </w:pPr>
    <w:rPr>
      <w:szCs w:val="20"/>
    </w:rPr>
  </w:style>
  <w:style w:type="paragraph" w:styleId="TOC9">
    <w:name w:val="toc 9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6480" w:right="720" w:hanging="720"/>
    </w:pPr>
    <w:rPr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link w:val="FootnoteTextChar"/>
    <w:pPr>
      <w:spacing w:after="240"/>
      <w:ind w:firstLine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after="240"/>
      <w:ind w:left="1440" w:right="144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Cs/>
      <w:color w:val="000000" w:themeColor="text1"/>
      <w:sz w:val="24"/>
    </w:rPr>
  </w:style>
  <w:style w:type="paragraph" w:styleId="BodyText">
    <w:name w:val="Body Text"/>
    <w:basedOn w:val="Normal"/>
    <w:link w:val="BodyTextChar"/>
    <w:uiPriority w:val="4"/>
    <w:qFormat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Pr>
      <w:rFonts w:ascii="Times New Roman" w:hAnsi="Times New Roman"/>
      <w:sz w:val="24"/>
    </w:rPr>
  </w:style>
  <w:style w:type="paragraph" w:customStyle="1" w:styleId="BodyTextContinued">
    <w:name w:val="Body Text Continued"/>
    <w:basedOn w:val="BodyText"/>
    <w:link w:val="BodyTextContinuedChar"/>
    <w:qFormat/>
    <w:pPr>
      <w:ind w:firstLine="0"/>
    </w:pPr>
  </w:style>
  <w:style w:type="character" w:customStyle="1" w:styleId="BodyTextContinuedChar">
    <w:name w:val="Body Text Continued Char"/>
    <w:basedOn w:val="BodyTextChar"/>
    <w:link w:val="BodyTextContinued"/>
    <w:rPr>
      <w:rFonts w:ascii="Times New Roman" w:hAnsi="Times New Roman"/>
      <w:sz w:val="24"/>
    </w:rPr>
  </w:style>
  <w:style w:type="paragraph" w:customStyle="1" w:styleId="DraftBodyText">
    <w:name w:val="Draft Body Text"/>
    <w:basedOn w:val="BodyText"/>
    <w:link w:val="DraftBodyTextChar"/>
    <w:qFormat/>
    <w:pPr>
      <w:spacing w:line="480" w:lineRule="auto"/>
    </w:pPr>
  </w:style>
  <w:style w:type="character" w:customStyle="1" w:styleId="DraftBodyTextChar">
    <w:name w:val="Draft Body Text Char"/>
    <w:basedOn w:val="BodyTextChar"/>
    <w:link w:val="DraftBodyText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character" w:customStyle="1" w:styleId="zzmpTrailerItem">
    <w:name w:val="zzmpTrailerItem"/>
    <w:basedOn w:val="DefaultParagraphFont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1800" w:right="720" w:hanging="1800"/>
    </w:pPr>
    <w:rPr>
      <w:caps/>
      <w:szCs w:val="20"/>
    </w:rPr>
  </w:style>
  <w:style w:type="paragraph" w:styleId="TOC2">
    <w:name w:val="toc 2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1440" w:right="720" w:hanging="720"/>
    </w:pPr>
    <w:rPr>
      <w:szCs w:val="20"/>
    </w:rPr>
  </w:style>
  <w:style w:type="paragraph" w:styleId="TOC3">
    <w:name w:val="toc 3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2160" w:right="720" w:hanging="720"/>
    </w:pPr>
    <w:rPr>
      <w:szCs w:val="20"/>
    </w:rPr>
  </w:style>
  <w:style w:type="paragraph" w:styleId="TOC4">
    <w:name w:val="toc 4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2880" w:right="720" w:hanging="720"/>
    </w:pPr>
    <w:rPr>
      <w:szCs w:val="20"/>
    </w:rPr>
  </w:style>
  <w:style w:type="paragraph" w:styleId="TOC5">
    <w:name w:val="toc 5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3600" w:right="720" w:hanging="720"/>
    </w:pPr>
    <w:rPr>
      <w:szCs w:val="20"/>
    </w:rPr>
  </w:style>
  <w:style w:type="paragraph" w:styleId="TOC6">
    <w:name w:val="toc 6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4320" w:right="720" w:hanging="720"/>
    </w:pPr>
    <w:rPr>
      <w:szCs w:val="20"/>
    </w:rPr>
  </w:style>
  <w:style w:type="paragraph" w:styleId="TOC7">
    <w:name w:val="toc 7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5040" w:right="720" w:hanging="720"/>
    </w:pPr>
    <w:rPr>
      <w:szCs w:val="20"/>
    </w:rPr>
  </w:style>
  <w:style w:type="paragraph" w:styleId="TOC8">
    <w:name w:val="toc 8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5760" w:right="720" w:hanging="720"/>
    </w:pPr>
    <w:rPr>
      <w:szCs w:val="20"/>
    </w:rPr>
  </w:style>
  <w:style w:type="paragraph" w:styleId="TOC9">
    <w:name w:val="toc 9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6480" w:right="720" w:hanging="720"/>
    </w:pPr>
    <w:rPr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link w:val="FootnoteTextChar"/>
    <w:pPr>
      <w:spacing w:after="240"/>
      <w:ind w:firstLine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after="240"/>
      <w:ind w:left="1440" w:right="144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hAnsi="Times New Roman"/>
      <w:iCs/>
      <w:color w:val="000000" w:themeColor="text1"/>
      <w:sz w:val="24"/>
    </w:rPr>
  </w:style>
  <w:style w:type="paragraph" w:styleId="BodyText">
    <w:name w:val="Body Text"/>
    <w:basedOn w:val="Normal"/>
    <w:link w:val="BodyTextChar"/>
    <w:uiPriority w:val="4"/>
    <w:qFormat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Pr>
      <w:rFonts w:ascii="Times New Roman" w:hAnsi="Times New Roman"/>
      <w:sz w:val="24"/>
    </w:rPr>
  </w:style>
  <w:style w:type="paragraph" w:customStyle="1" w:styleId="BodyTextContinued">
    <w:name w:val="Body Text Continued"/>
    <w:basedOn w:val="BodyText"/>
    <w:link w:val="BodyTextContinuedChar"/>
    <w:qFormat/>
    <w:pPr>
      <w:ind w:firstLine="0"/>
    </w:pPr>
  </w:style>
  <w:style w:type="character" w:customStyle="1" w:styleId="BodyTextContinuedChar">
    <w:name w:val="Body Text Continued Char"/>
    <w:basedOn w:val="BodyTextChar"/>
    <w:link w:val="BodyTextContinued"/>
    <w:rPr>
      <w:rFonts w:ascii="Times New Roman" w:hAnsi="Times New Roman"/>
      <w:sz w:val="24"/>
    </w:rPr>
  </w:style>
  <w:style w:type="paragraph" w:customStyle="1" w:styleId="DraftBodyText">
    <w:name w:val="Draft Body Text"/>
    <w:basedOn w:val="BodyText"/>
    <w:link w:val="DraftBodyTextChar"/>
    <w:qFormat/>
    <w:pPr>
      <w:spacing w:line="480" w:lineRule="auto"/>
    </w:pPr>
  </w:style>
  <w:style w:type="character" w:customStyle="1" w:styleId="DraftBodyTextChar">
    <w:name w:val="Draft Body Text Char"/>
    <w:basedOn w:val="BodyTextChar"/>
    <w:link w:val="DraftBodyText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character" w:customStyle="1" w:styleId="zzmpTrailerItem">
    <w:name w:val="zzmpTrailerItem"/>
    <w:basedOn w:val="DefaultParagraphFont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5A7F-1CA6-4D3A-BE34-34E47C92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Stoel Rives LLP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Curtice, Melanie K.</dc:creator>
  <cp:lastModifiedBy>Newcomb, Kellee</cp:lastModifiedBy>
  <cp:revision>3</cp:revision>
  <cp:lastPrinted>2014-05-01T19:27:00Z</cp:lastPrinted>
  <dcterms:created xsi:type="dcterms:W3CDTF">2014-05-12T21:41:00Z</dcterms:created>
  <dcterms:modified xsi:type="dcterms:W3CDTF">2014-05-12T21:44:00Z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1379830917</vt:i4>
  </property>
  <property fmtid="{D5CDD505-2E9C-101B-9397-08002B2CF9AE}" pid="3" name="_NewReviewCycle">
    <vt:lpwstr/>
  </property>
  <property fmtid="{D5CDD505-2E9C-101B-9397-08002B2CF9AE}" pid="4" name="_EmailSubject">
    <vt:lpwstr>Revised Summary and PPT for Monday's Meeting</vt:lpwstr>
  </property>
  <property fmtid="{D5CDD505-2E9C-101B-9397-08002B2CF9AE}" pid="5" name="_AuthorEmail">
    <vt:lpwstr>MKCURTICE@stoel.com</vt:lpwstr>
  </property>
  <property fmtid="{D5CDD505-2E9C-101B-9397-08002B2CF9AE}" pid="6" name="_AuthorEmailDisplayName">
    <vt:lpwstr>Curtice, Melanie K.</vt:lpwstr>
  </property>
  <property fmtid="{D5CDD505-2E9C-101B-9397-08002B2CF9AE}" pid="7" name="_PreviousAdHocReviewCycleID">
    <vt:i4>-1399434309</vt:i4>
  </property>
  <property fmtid="{D5CDD505-2E9C-101B-9397-08002B2CF9AE}" pid="8" name="_ReviewingToolsShownOnce">
    <vt:lpwstr/>
  </property>
</Properties>
</file>